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09A4" w14:textId="77777777" w:rsidR="007F5090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 xml:space="preserve">Внесены изменения в отдельные акты Правительства РФ по вопросам обращения с ТКО </w:t>
      </w:r>
    </w:p>
    <w:bookmarkEnd w:id="0"/>
    <w:p w14:paraId="7C54D302" w14:textId="77777777" w:rsidR="007F5090" w:rsidRDefault="007F5090" w:rsidP="007F5090">
      <w:pPr>
        <w:pStyle w:val="no-indent"/>
        <w:shd w:val="clear" w:color="auto" w:fill="FFFFFF"/>
        <w:spacing w:before="0" w:beforeAutospacing="0" w:after="0" w:afterAutospacing="0"/>
        <w:ind w:firstLine="540"/>
        <w:jc w:val="both"/>
      </w:pPr>
    </w:p>
    <w:p w14:paraId="5D2FEC6F" w14:textId="77777777" w:rsidR="007F5090" w:rsidRPr="00E81CEC" w:rsidRDefault="007F5090" w:rsidP="007F5090">
      <w:pPr>
        <w:pStyle w:val="no-indent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sz w:val="30"/>
          <w:szCs w:val="30"/>
        </w:rPr>
      </w:pPr>
      <w:hyperlink r:id="rId4" w:history="1">
        <w:r w:rsidRPr="00E81CEC">
          <w:rPr>
            <w:rStyle w:val="a5"/>
            <w:color w:val="auto"/>
            <w:sz w:val="30"/>
            <w:szCs w:val="30"/>
            <w:u w:val="none"/>
          </w:rPr>
          <w:t>Постановление</w:t>
        </w:r>
      </w:hyperlink>
      <w:r w:rsidRPr="00E81CEC">
        <w:rPr>
          <w:rStyle w:val="a5"/>
          <w:color w:val="auto"/>
          <w:sz w:val="30"/>
          <w:szCs w:val="30"/>
          <w:u w:val="none"/>
        </w:rPr>
        <w:t>м</w:t>
      </w:r>
      <w:r w:rsidRPr="00E81CEC">
        <w:rPr>
          <w:sz w:val="30"/>
          <w:szCs w:val="30"/>
        </w:rPr>
        <w:t xml:space="preserve"> Правительства Российской </w:t>
      </w:r>
      <w:proofErr w:type="gramStart"/>
      <w:r w:rsidRPr="00E81CEC">
        <w:rPr>
          <w:sz w:val="30"/>
          <w:szCs w:val="30"/>
        </w:rPr>
        <w:t>Федерации  от</w:t>
      </w:r>
      <w:proofErr w:type="gramEnd"/>
      <w:r w:rsidRPr="00E81CEC">
        <w:rPr>
          <w:sz w:val="30"/>
          <w:szCs w:val="30"/>
        </w:rPr>
        <w:t xml:space="preserve"> 06.03.2026 N 241 с 06.03.2026 </w:t>
      </w:r>
      <w:r w:rsidRPr="00E81CEC">
        <w:rPr>
          <w:rStyle w:val="a4"/>
          <w:b w:val="0"/>
          <w:bCs w:val="0"/>
          <w:sz w:val="30"/>
          <w:szCs w:val="30"/>
        </w:rPr>
        <w:t>внесены изменения в отдельные акты Правительства РФ по вопросам обращения с ТКО.</w:t>
      </w:r>
    </w:p>
    <w:p w14:paraId="128E5025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В частности, предусмотрена </w:t>
      </w:r>
      <w:hyperlink r:id="rId5" w:anchor="dst100898" w:history="1">
        <w:r w:rsidRPr="00E81CEC">
          <w:rPr>
            <w:rStyle w:val="a5"/>
            <w:color w:val="auto"/>
            <w:sz w:val="30"/>
            <w:szCs w:val="30"/>
            <w:u w:val="none"/>
          </w:rPr>
          <w:t>возможность</w:t>
        </w:r>
      </w:hyperlink>
      <w:r w:rsidRPr="00E81CEC">
        <w:rPr>
          <w:sz w:val="30"/>
          <w:szCs w:val="30"/>
        </w:rPr>
        <w:t> определения нормативов накопления ТКО методом сравнительного анализа для категорий потребителей в жилых помещениях многоквартирных домов и в жилых домах.</w:t>
      </w:r>
    </w:p>
    <w:p w14:paraId="78A54B8B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Уточняется, что данные, полученные с использованием средств измерения массы, при определении нормативов накопления, скорректированных в соответствии с </w:t>
      </w:r>
      <w:hyperlink r:id="rId6" w:anchor="dst1" w:history="1">
        <w:r w:rsidRPr="00E81CEC">
          <w:rPr>
            <w:rStyle w:val="a5"/>
            <w:color w:val="auto"/>
            <w:sz w:val="30"/>
            <w:szCs w:val="30"/>
            <w:u w:val="none"/>
          </w:rPr>
          <w:t>пунктом 34</w:t>
        </w:r>
      </w:hyperlink>
      <w:r w:rsidRPr="00E81CEC">
        <w:rPr>
          <w:sz w:val="30"/>
          <w:szCs w:val="30"/>
        </w:rPr>
        <w:t> Правил определения нормативов накопления ТКО, </w:t>
      </w:r>
      <w:hyperlink r:id="rId7" w:anchor="dst100913" w:history="1">
        <w:r w:rsidRPr="00E81CEC">
          <w:rPr>
            <w:rStyle w:val="a5"/>
            <w:color w:val="auto"/>
            <w:sz w:val="30"/>
            <w:szCs w:val="30"/>
            <w:u w:val="none"/>
          </w:rPr>
          <w:t>используются</w:t>
        </w:r>
      </w:hyperlink>
      <w:r w:rsidRPr="00E81CEC">
        <w:rPr>
          <w:sz w:val="30"/>
          <w:szCs w:val="30"/>
        </w:rPr>
        <w:t> в случае размещения в ФГИС УТКО информации, полученной с использованием средств измерения массы за период не менее 12 месяцев в отношении не менее 50% отходов, образующихся в субъекте РФ.</w:t>
      </w:r>
    </w:p>
    <w:p w14:paraId="785004DC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Скорректирован </w:t>
      </w:r>
      <w:hyperlink r:id="rId8" w:anchor="dst100244" w:history="1">
        <w:r w:rsidRPr="00E81CEC">
          <w:rPr>
            <w:rStyle w:val="a5"/>
            <w:color w:val="auto"/>
            <w:sz w:val="30"/>
            <w:szCs w:val="30"/>
            <w:u w:val="none"/>
          </w:rPr>
          <w:t>перечень</w:t>
        </w:r>
      </w:hyperlink>
      <w:r w:rsidRPr="00E81CEC">
        <w:rPr>
          <w:sz w:val="30"/>
          <w:szCs w:val="30"/>
        </w:rPr>
        <w:t> категорий потребителей услуги по обращению с ТКО. В частности, в перечень включены:</w:t>
      </w:r>
    </w:p>
    <w:p w14:paraId="30D76562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- лечебно-профилактические медицинские организации (за исключением больниц, родильных домов, госпиталей, лепрозориев, диспансеров, поликлиник, домов ребенка, санаторно-курортных организаций) и медицинские организации особого типа;</w:t>
      </w:r>
    </w:p>
    <w:p w14:paraId="52592503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- больницы, родильные дома, госпитали, лепрозории, диспансеры, поликлиники, дома ребенка;</w:t>
      </w:r>
    </w:p>
    <w:p w14:paraId="40EDB7B6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- фармацевтические организации, ИП, осуществляющие фармацевтическую деятельность (за исключением аптечных организаций, являющихся структурными подразделениями медицинских организаций).</w:t>
      </w:r>
    </w:p>
    <w:p w14:paraId="7AAD8FDD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Определены поправочные </w:t>
      </w:r>
      <w:hyperlink r:id="rId9" w:anchor="dst100454" w:history="1">
        <w:r w:rsidRPr="00E81CEC">
          <w:rPr>
            <w:rStyle w:val="a5"/>
            <w:color w:val="auto"/>
            <w:sz w:val="30"/>
            <w:szCs w:val="30"/>
            <w:u w:val="none"/>
          </w:rPr>
          <w:t>коэффициенты</w:t>
        </w:r>
      </w:hyperlink>
      <w:r w:rsidRPr="00E81CEC">
        <w:rPr>
          <w:sz w:val="30"/>
          <w:szCs w:val="30"/>
        </w:rPr>
        <w:t> для таких категорий потребителей.</w:t>
      </w:r>
    </w:p>
    <w:p w14:paraId="6F750DD0" w14:textId="77777777" w:rsidR="007F5090" w:rsidRPr="00E81CEC" w:rsidRDefault="007F5090" w:rsidP="007F509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E81CEC">
        <w:rPr>
          <w:sz w:val="30"/>
          <w:szCs w:val="30"/>
        </w:rPr>
        <w:t>Термин «норматив накопления ТКО» заменен на «базовое расчетное количество ТКО».</w:t>
      </w:r>
    </w:p>
    <w:p w14:paraId="789FE091" w14:textId="77777777" w:rsidR="007F5090" w:rsidRDefault="007F5090" w:rsidP="007F5090">
      <w:pPr>
        <w:rPr>
          <w:sz w:val="30"/>
          <w:szCs w:val="30"/>
        </w:rPr>
      </w:pPr>
    </w:p>
    <w:p w14:paraId="224DA7F3" w14:textId="77777777" w:rsidR="00FC099B" w:rsidRDefault="007F5090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5"/>
    <w:rsid w:val="00302435"/>
    <w:rsid w:val="004B163F"/>
    <w:rsid w:val="007036E1"/>
    <w:rsid w:val="007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26B9E-0DF4-4457-A188-D380118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090"/>
    <w:rPr>
      <w:b/>
      <w:bCs/>
    </w:rPr>
  </w:style>
  <w:style w:type="character" w:styleId="a5">
    <w:name w:val="Hyperlink"/>
    <w:basedOn w:val="a0"/>
    <w:uiPriority w:val="99"/>
    <w:semiHidden/>
    <w:unhideWhenUsed/>
    <w:rsid w:val="007F5090"/>
    <w:rPr>
      <w:color w:val="0000FF"/>
      <w:u w:val="single"/>
    </w:rPr>
  </w:style>
  <w:style w:type="paragraph" w:customStyle="1" w:styleId="no-indent">
    <w:name w:val="no-indent"/>
    <w:basedOn w:val="a"/>
    <w:rsid w:val="007F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8300/c22cabc7095628f26b8a441905012e0843ced4c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8300/f0e738d3d1c7e5ada1ac693660ad3d535c04d3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8300/f0e738d3d1c7e5ada1ac693660ad3d535c04d33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528300/c0473f99dc136eba85f06088b98aa61a2d48ecf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528281/" TargetMode="External"/><Relationship Id="rId9" Type="http://schemas.openxmlformats.org/officeDocument/2006/relationships/hyperlink" Target="https://www.consultant.ru/document/cons_doc_LAW_528300/1b3e76b00cb23bd8195d49202433acab8409cb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2026-04-26T14:32:00Z</dcterms:created>
  <dcterms:modified xsi:type="dcterms:W3CDTF">2026-04-26T14:32:00Z</dcterms:modified>
</cp:coreProperties>
</file>